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2"/>
          <w:lang w:eastAsia="zh-CN"/>
        </w:rPr>
        <w:t>年度廊坊市</w:t>
      </w:r>
      <w:r>
        <w:rPr>
          <w:rFonts w:hint="eastAsia" w:ascii="方正小标宋简体" w:hAnsi="方正小标宋简体" w:eastAsia="方正小标宋简体" w:cs="方正小标宋简体"/>
          <w:sz w:val="44"/>
          <w:szCs w:val="22"/>
          <w:lang w:val="en-US" w:eastAsia="zh-CN"/>
        </w:rPr>
        <w:t>香河县委组织部</w:t>
      </w:r>
    </w:p>
    <w:p>
      <w:pPr>
        <w:pStyle w:val="2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2"/>
          <w:lang w:eastAsia="zh-CN"/>
        </w:rPr>
        <w:t>决算信息公开情况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720" w:firstLineChars="200"/>
        <w:jc w:val="center"/>
        <w:textAlignment w:val="auto"/>
        <w:rPr>
          <w:lang w:val="en-US"/>
        </w:rPr>
      </w:pPr>
      <w:r>
        <w:rPr>
          <w:rFonts w:hint="eastAsia" w:ascii="微软雅黑" w:hAnsi="微软雅黑" w:eastAsia="微软雅黑" w:cs="微软雅黑"/>
          <w:color w:val="FF0000"/>
          <w:kern w:val="2"/>
          <w:sz w:val="36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按照《预算法》、《河北省财政厅关于印发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&lt;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河北省预决算公开操作规程实施细则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&gt;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的通知》（冀财预</w:t>
      </w:r>
      <w:r>
        <w:rPr>
          <w:rFonts w:hint="eastAsia" w:ascii="宋体" w:hAnsi="宋体" w:eastAsia="宋体" w:cs="宋体"/>
          <w:color w:val="000000"/>
          <w:kern w:val="2"/>
          <w:sz w:val="32"/>
          <w:szCs w:val="22"/>
          <w:lang w:val="en-US" w:eastAsia="zh-CN" w:bidi="ar"/>
        </w:rPr>
        <w:t>﹝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2016</w:t>
      </w:r>
      <w:r>
        <w:rPr>
          <w:rFonts w:hint="eastAsia" w:ascii="宋体" w:hAnsi="宋体" w:eastAsia="宋体" w:cs="宋体"/>
          <w:color w:val="000000"/>
          <w:kern w:val="2"/>
          <w:sz w:val="32"/>
          <w:szCs w:val="22"/>
          <w:lang w:val="en-US" w:eastAsia="zh-CN" w:bidi="ar"/>
        </w:rPr>
        <w:t>﹞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129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号）等规定，现将 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2016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年部门决算公开如下：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rPr>
          <w:lang w:val="en-US"/>
        </w:rPr>
      </w:pPr>
      <w:r>
        <w:rPr>
          <w:lang w:eastAsia="zh-CN"/>
        </w:rPr>
        <w:t>一、部门职责及机构设置情况</w:t>
      </w:r>
      <w:r>
        <w:rPr>
          <w:rFonts w:hint="default" w:ascii="Times New Roman" w:hAnsi="Times New Roman" w:eastAsia="Times New Roman" w:cs="Times New Roman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28"/>
          <w:szCs w:val="22"/>
          <w:lang w:val="en-US" w:eastAsia="zh-CN" w:bidi="ar"/>
        </w:rPr>
        <w:t>部门职责：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28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（一）根据党的路线、方针、政策和县委的指示、决议，研究制定有关党的组织工作的方针、政策，提出实施党的组织路线的具体措施。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（二）检查督促乡局级领导班子贯彻民主集中制、坚持集体领导和组织生活的情况，总结推广经验，提出改进意见和措施。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（三）贯彻执行党的干部路线和干部政策，深化干部制度改革，搞好干部监督，加强干部的考察了解。根据形势和任务的需要，大力培训干部，切实提高干部队伍素质。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（四）按照革命化、年轻化、知识化和专业化的要求，在县委的领导下，调整、配备和建设乡局级领导班子；按照德才兼备的标准和领导干部的基本条件，积极培养选拔优秀中青年干部。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（五）搞好干部交流，保持领导班子的活力和开拓进取精神。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（六）做好乡局级领导班子和领导干部的考核、奖惩工作。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（七）积极协同老干部局，做好离退休干部管理、安置工作，充分发挥他们的作用。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（八）搞好党员教育管理，做好发展党员工作，不断研究和加强党的基层组织整顿和建设，努力提高党员队伍的素质，增强党组织的吸引力、凝聚力战斗力。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（九）认真做好知识分子和人才管理工作，充分调动他们的积极性。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（十）负责干部统计和党员统计，管好干部档案。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（十一）受理党员、干部申诉，做好党员干部的来信来访和干部审查工作。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（十二）承办县委和市委组织部交办的其它工作任务。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default" w:ascii="Times New Roman" w:hAnsi="Times New Roman" w:eastAsia="Times New Roman" w:cs="Times New Roman"/>
          <w:color w:val="333333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color w:val="000000"/>
          <w:kern w:val="2"/>
          <w:sz w:val="28"/>
          <w:szCs w:val="22"/>
          <w:lang w:val="en-US" w:eastAsia="zh-CN" w:bidi="ar"/>
        </w:rPr>
        <w:t>机构设置：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28"/>
          <w:szCs w:val="22"/>
          <w:lang w:val="en-US" w:eastAsia="zh-CN" w:bidi="ar"/>
        </w:rPr>
        <w:t xml:space="preserve"> </w:t>
      </w:r>
    </w:p>
    <w:p>
      <w:pPr>
        <w:jc w:val="center"/>
        <w:outlineLvl w:val="0"/>
        <w:rPr>
          <w:rFonts w:ascii="Times New Roman" w:hAnsi="Times New Roman" w:eastAsia="方正小标宋_GBK"/>
          <w:sz w:val="32"/>
          <w:szCs w:val="24"/>
        </w:rPr>
      </w:pPr>
      <w:r>
        <w:rPr>
          <w:rFonts w:hint="eastAsia" w:ascii="Times New Roman" w:hAnsi="Times New Roman" w:eastAsia="方正小标宋_GBK"/>
          <w:sz w:val="32"/>
          <w:szCs w:val="24"/>
        </w:rPr>
        <w:t>部门机构设置情况</w:t>
      </w:r>
    </w:p>
    <w:tbl>
      <w:tblPr>
        <w:tblStyle w:val="5"/>
        <w:tblW w:w="9755" w:type="dxa"/>
        <w:jc w:val="center"/>
        <w:tblInd w:w="-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4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  <w:b/>
                <w:szCs w:val="24"/>
              </w:rPr>
            </w:pPr>
            <w:r>
              <w:rPr>
                <w:rFonts w:hint="eastAsia" w:ascii="Times New Roman" w:hAnsi="Times New Roman" w:eastAsia="方正书宋_GBK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  <w:b/>
                <w:szCs w:val="24"/>
              </w:rPr>
            </w:pPr>
            <w:r>
              <w:rPr>
                <w:rFonts w:hint="eastAsia" w:ascii="Times New Roman" w:hAnsi="Times New Roman" w:eastAsia="方正书宋_GBK"/>
                <w:b/>
                <w:szCs w:val="24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  <w:b/>
                <w:szCs w:val="24"/>
              </w:rPr>
            </w:pPr>
            <w:r>
              <w:rPr>
                <w:rFonts w:hint="eastAsia" w:ascii="Times New Roman" w:hAnsi="Times New Roman" w:eastAsia="方正书宋_GBK"/>
                <w:b/>
                <w:szCs w:val="24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  <w:b/>
                <w:szCs w:val="24"/>
              </w:rPr>
            </w:pPr>
            <w:r>
              <w:rPr>
                <w:rFonts w:hint="eastAsia" w:ascii="Times New Roman" w:hAnsi="Times New Roman" w:eastAsia="方正书宋_GBK"/>
                <w:b/>
                <w:szCs w:val="24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443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443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/>
                <w:szCs w:val="24"/>
              </w:rPr>
            </w:pPr>
            <w:r>
              <w:rPr>
                <w:rFonts w:hint="eastAsia" w:ascii="Times New Roman" w:hAnsi="Times New Roman" w:eastAsia="方正书宋_GBK"/>
                <w:szCs w:val="24"/>
              </w:rPr>
              <w:t>中共香河县委组织部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/>
                <w:szCs w:val="24"/>
              </w:rPr>
            </w:pPr>
            <w:r>
              <w:rPr>
                <w:rFonts w:hint="eastAsia" w:ascii="Times New Roman" w:hAnsi="Times New Roman" w:eastAsia="方正书宋_GBK"/>
                <w:szCs w:val="24"/>
              </w:rPr>
              <w:t>行政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/>
                <w:szCs w:val="24"/>
              </w:rPr>
            </w:pPr>
            <w:r>
              <w:rPr>
                <w:rFonts w:hint="eastAsia" w:ascii="Times New Roman" w:hAnsi="Times New Roman" w:eastAsia="方正书宋_GBK"/>
                <w:szCs w:val="24"/>
              </w:rPr>
              <w:t>正科级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/>
                <w:szCs w:val="24"/>
              </w:rPr>
            </w:pPr>
            <w:r>
              <w:rPr>
                <w:rFonts w:hint="eastAsia" w:ascii="Times New Roman" w:hAnsi="Times New Roman" w:eastAsia="方正书宋_GBK"/>
                <w:szCs w:val="24"/>
              </w:rPr>
              <w:t>财政拨款（行政）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28"/>
          <w:szCs w:val="22"/>
          <w:lang w:val="en-US" w:eastAsia="zh-CN" w:bidi="ar"/>
        </w:rPr>
        <w:t>二、</w:t>
      </w:r>
      <w:r>
        <w:rPr>
          <w:rFonts w:hint="eastAsia" w:ascii="黑体" w:hAnsi="宋体" w:eastAsia="黑体" w:cs="黑体"/>
          <w:color w:val="000000"/>
          <w:kern w:val="2"/>
          <w:sz w:val="32"/>
          <w:szCs w:val="22"/>
          <w:lang w:val="en-US" w:eastAsia="zh-CN" w:bidi="ar"/>
        </w:rPr>
        <w:t>部门决算报表（附表）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rPr>
          <w:lang w:val="en-US"/>
        </w:rPr>
      </w:pPr>
      <w:r>
        <w:rPr>
          <w:lang w:eastAsia="zh-CN"/>
        </w:rPr>
        <w:t>三、</w:t>
      </w:r>
      <w:r>
        <w:rPr>
          <w:rFonts w:hint="default" w:ascii="Times New Roman" w:hAnsi="Times New Roman" w:eastAsia="Times New Roman" w:cs="Times New Roman"/>
          <w:lang w:val="en-US"/>
        </w:rPr>
        <w:t xml:space="preserve">2016 </w:t>
      </w:r>
      <w:r>
        <w:rPr>
          <w:lang w:eastAsia="zh-CN"/>
        </w:rPr>
        <w:t>年度部门决算情况说明</w:t>
      </w:r>
      <w:r>
        <w:rPr>
          <w:rFonts w:hint="default" w:ascii="Times New Roman" w:hAnsi="Times New Roman" w:eastAsia="Times New Roman" w:cs="Times New Roman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收入支出决算总体情况说明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  <w:bookmarkStart w:id="1" w:name="_GoBack"/>
      <w:bookmarkEnd w:id="1"/>
    </w:p>
    <w:p>
      <w:pPr>
        <w:widowControl/>
        <w:adjustRightInd w:val="0"/>
        <w:spacing w:line="560" w:lineRule="exact"/>
        <w:ind w:firstLine="640" w:firstLineChars="200"/>
        <w:jc w:val="left"/>
        <w:rPr>
          <w:lang w:val="en-US"/>
        </w:rPr>
      </w:pP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年度一般公共预算财政拨款上年结转结余150</w:t>
      </w:r>
      <w:r>
        <w:rPr>
          <w:rFonts w:hint="eastAsia" w:eastAsia="仿宋_GB2312"/>
          <w:sz w:val="32"/>
          <w:szCs w:val="32"/>
          <w:lang w:val="en-US" w:eastAsia="zh-CN"/>
        </w:rPr>
        <w:t>.40</w:t>
      </w:r>
      <w:r>
        <w:rPr>
          <w:rFonts w:hint="eastAsia" w:eastAsia="仿宋_GB2312"/>
          <w:sz w:val="32"/>
          <w:szCs w:val="32"/>
        </w:rPr>
        <w:t>万元，本年收入1721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万元，本年支出1361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</w:rPr>
        <w:t>13万元，用事业基金弥补收支差额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万元，结余分配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万元，年末财政拨款结转和结余510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收入决算情况说明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widowControl/>
        <w:adjustRightInd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  <w:lang w:val="en-US"/>
        </w:rPr>
      </w:pPr>
      <w:r>
        <w:rPr>
          <w:rFonts w:hint="eastAsia" w:eastAsia="仿宋_GB2312"/>
          <w:sz w:val="32"/>
          <w:szCs w:val="32"/>
          <w:lang w:val="en-US" w:eastAsia="zh-CN"/>
        </w:rPr>
        <w:t>2016年全年收入</w:t>
      </w:r>
      <w:r>
        <w:rPr>
          <w:rFonts w:hint="eastAsia" w:eastAsia="仿宋_GB2312"/>
          <w:sz w:val="32"/>
          <w:szCs w:val="32"/>
        </w:rPr>
        <w:t>1721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  <w:lang w:val="en-US" w:eastAsia="zh-CN"/>
        </w:rPr>
        <w:t>2万元，上年结转</w:t>
      </w:r>
      <w:r>
        <w:rPr>
          <w:rFonts w:hint="eastAsia" w:eastAsia="仿宋_GB2312"/>
          <w:sz w:val="32"/>
          <w:szCs w:val="32"/>
        </w:rPr>
        <w:t>150</w:t>
      </w:r>
      <w:r>
        <w:rPr>
          <w:rFonts w:hint="eastAsia" w:eastAsia="仿宋_GB2312"/>
          <w:sz w:val="32"/>
          <w:szCs w:val="32"/>
          <w:lang w:val="en-US" w:eastAsia="zh-CN"/>
        </w:rPr>
        <w:t>.40万元,共计1872.02万元。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支出决算情况说明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widowControl/>
        <w:adjustRightInd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年全年支出1361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</w:rPr>
        <w:t>13万元。其中：一般公共服务支出1272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</w:rPr>
        <w:t>35万元，社会保障和就业支出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8.9万元，农林水支出62.69万元，</w:t>
      </w:r>
      <w:r>
        <w:rPr>
          <w:rFonts w:hint="eastAsia" w:eastAsia="仿宋_GB2312"/>
          <w:sz w:val="32"/>
          <w:szCs w:val="32"/>
        </w:rPr>
        <w:t>住房保障支出17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财政拨款收入支出决算总体情况说明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lang w:val="en-US"/>
        </w:rPr>
      </w:pP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年全年财政拨款1841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(其中上年结转120.07万元)</w:t>
      </w:r>
      <w:r>
        <w:rPr>
          <w:rFonts w:hint="eastAsia" w:eastAsia="仿宋_GB2312"/>
          <w:sz w:val="32"/>
          <w:szCs w:val="32"/>
        </w:rPr>
        <w:t>，全年财政拨款支出1330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</w:rPr>
        <w:t>80万元，年末结余和结转510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三公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经费情况及增减变化原因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2016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年度部门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三公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经费支出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9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.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6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万元，比预算减少3.74万元，比 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2015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年度决算增加0.3万元。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其中：因公出国（境）费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万元（本单位 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2016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年度组织出国（境）团组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个，因公出国（境）人次数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人），比预算增加（减少）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万元，比 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2015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年度决算增加（减少）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万元；公务用车购置及运行维护费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7.4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万元（公务用车购置数量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辆，购置金额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万元，公车运行维护费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7.4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万元，年末公务用车保有量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辆），比预算减少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0.5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万元，比 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2015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年度决算增加0.38万元，原因是公车维修费用增多；公务接待费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2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.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26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万元（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2016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年度国内公务接待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56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批次，合计接待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352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人次），比预算减少3.24万元，比 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2015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年度决算减少0.8万元，原因是</w:t>
      </w:r>
      <w:r>
        <w:rPr>
          <w:rFonts w:hint="eastAsia" w:eastAsia="仿宋_GB2312"/>
          <w:sz w:val="32"/>
          <w:szCs w:val="32"/>
        </w:rPr>
        <w:t>按照文件规定严格控制公务接待费标准及费用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。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（六）机关运行经费支出情况的说明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2016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年度部门机关运行经费支出200.58万元，比 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2015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年度增加</w:t>
      </w:r>
      <w:r>
        <w:rPr>
          <w:rFonts w:hint="eastAsia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64.31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万元，原因是全县大规模培训费用增加。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绩效预算信息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加强党组织建设和党员管理,不断提高执政能力和领导水平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使我县党代表履行职责，行使权利，发挥作用等各方面工作取得突破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充分发挥考核工作的“指挥棒”作用，激发干部干事创业的积极性，促使干部“为官有为”；培养锻炼干部，提高干部整体素质；全县干部流转调配工作政策严谨、规范有序、责权明确、公开透明，优化干部队伍结构、保证事业发展需要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完善更新干部人事档案，提高科学管理水平，有效的保管和利用档案，更好为干部工作服务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组织落实培养选拔后备干部、妇女干部、少数民族干部工作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受援地与支援地交流交融不断深入，干部人才为受援地经济发展和社会稳定做出应有贡献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建立规范的干部教育培训体系，科学设置培训内容，创新培训方式方法，完善培训管理机制，不断提升干部教育培训的统筹性、针对性和实效性，全面提高工作的科学化、制度化、规范化水平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100%落实县管优秀专家和县域特色人健康体检、休假疗养、专项津贴等待遇，激发人才队伍活力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组织、指导、协调全县组织系统互联网宣传工作；做好组织史征编工作；做好信息、信访工作。</w:t>
      </w:r>
    </w:p>
    <w:p>
      <w:pPr>
        <w:jc w:val="center"/>
        <w:outlineLvl w:val="0"/>
        <w:rPr>
          <w:rFonts w:hint="eastAsia" w:ascii="方正小标宋_GBK" w:eastAsia="方正小标宋_GBK"/>
          <w:sz w:val="32"/>
        </w:rPr>
      </w:pPr>
      <w:bookmarkStart w:id="0" w:name="_Toc448847274"/>
      <w:r>
        <w:rPr>
          <w:rFonts w:hint="eastAsia" w:ascii="方正小标宋_GBK" w:eastAsia="方正小标宋_GBK"/>
          <w:sz w:val="32"/>
        </w:rPr>
        <w:t>部门职责-工作活动绩效目标</w:t>
      </w:r>
      <w:bookmarkEnd w:id="0"/>
    </w:p>
    <w:tbl>
      <w:tblPr>
        <w:tblStyle w:val="5"/>
        <w:tblW w:w="1393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934" w:type="dxa"/>
            <w:gridSpan w:val="9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203</w:t>
            </w:r>
            <w:r>
              <w:rPr>
                <w:rFonts w:hint="eastAsia" w:ascii="方正小标宋_GBK" w:eastAsia="方正小标宋_GBK"/>
                <w:sz w:val="24"/>
              </w:rPr>
              <w:t>组织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党员和党组织建设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1083.68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全县党组织建设；负责县委基层组织建设牵头抓总工作；指导全县党员教育工作；主管党员的管理和发展工作；研究和指导各类新的经济组织中党组织的设置和活动方式；负责全县党组织、党员的统计工作；负责全县党费的收缴、管理和使用工作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加强基层领导班子、全县大学生村官队伍建设；健全全县党的组织制度、党内生活制度建设；加强民主集中制建设和民主生活会宏观指导；协调和指导乡镇党代会、人代会，做好代表补选、罢免等事宜。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党组织建设及党员教育管理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1075.68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负责全县党组织建设；负责县委基层组织建设；提出党内生活制度建设的意见；指导全县党员教育工作。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加强党组织建设和党员管理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>不断提高执政能力和领导水平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村干部专项帮扶资金发放率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村级组织运转经费及村级组织活动场所维护经费使用率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完成香河县家具产业党建示范基地党建展厅建设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cs" w:ascii="方正书宋_GBK" w:eastAsia="方正书宋_GBK"/>
                <w:cs/>
              </w:rPr>
              <w:t>“</w:t>
            </w:r>
            <w:r>
              <w:rPr>
                <w:rFonts w:hint="eastAsia" w:ascii="方正书宋_GBK" w:eastAsia="方正书宋_GBK"/>
              </w:rPr>
              <w:t>素质工程</w:t>
            </w:r>
            <w:r>
              <w:rPr>
                <w:rFonts w:hint="cs" w:ascii="方正书宋_GBK" w:eastAsia="方正书宋_GBK"/>
                <w:cs/>
              </w:rPr>
              <w:t>”</w:t>
            </w:r>
            <w:r>
              <w:rPr>
                <w:rFonts w:hint="eastAsia" w:ascii="方正书宋_GBK" w:eastAsia="方正书宋_GBK"/>
              </w:rPr>
              <w:t>培训完成率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cs" w:ascii="方正书宋_GBK" w:eastAsia="方正书宋_GBK"/>
                <w:cs/>
              </w:rPr>
            </w:pPr>
            <w:r>
              <w:rPr>
                <w:rFonts w:hint="eastAsia" w:ascii="方正书宋_GBK" w:eastAsia="方正书宋_GBK"/>
              </w:rPr>
              <w:t>社区信息化建设合格率及社区干部培训率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农村党员干部现代远程教育暨党员电化教育管理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85%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后进村转化率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大学生村官到岗率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创建党建示范区情况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县镇党委、农村</w:t>
            </w:r>
            <w:r>
              <w:rPr>
                <w:rFonts w:hint="cs" w:ascii="方正书宋_GBK" w:eastAsia="方正书宋_GBK"/>
                <w:cs/>
              </w:rPr>
              <w:t>“</w:t>
            </w:r>
            <w:r>
              <w:rPr>
                <w:rFonts w:hint="eastAsia" w:ascii="方正书宋_GBK" w:eastAsia="方正书宋_GBK"/>
              </w:rPr>
              <w:t>两委</w:t>
            </w:r>
            <w:r>
              <w:rPr>
                <w:rFonts w:hint="cs" w:ascii="方正书宋_GBK" w:eastAsia="方正书宋_GBK"/>
                <w:cs/>
              </w:rPr>
              <w:t>”</w:t>
            </w:r>
            <w:r>
              <w:rPr>
                <w:rFonts w:hint="eastAsia" w:ascii="方正书宋_GBK" w:eastAsia="方正书宋_GBK"/>
              </w:rPr>
              <w:t>换届率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农村干部工资、养老保险、老党员生活补贴发放率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党代表管理及服务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8.00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分期分批举办党代表履职能力培训班或调研学习；</w:t>
            </w:r>
            <w:r>
              <w:rPr>
                <w:rFonts w:ascii="方正书宋_GBK" w:eastAsia="方正书宋_GBK"/>
              </w:rPr>
              <w:t xml:space="preserve">                                                   </w:t>
            </w:r>
            <w:r>
              <w:rPr>
                <w:rFonts w:hint="eastAsia" w:ascii="方正书宋_GBK" w:eastAsia="方正书宋_GBK"/>
              </w:rPr>
              <w:t>为党代会代表购置学习资料。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使我县党代表履行职责，行使权利，发挥作用等各方面工作取得突破。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参与人数范围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培训效果。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举办培训班次数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举办调研视察活动及调研学习班次数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干部管理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377.00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负责全县干部队伍管理、干部培养选拔、干部调配、交流和安置；干部教育培训</w:t>
            </w:r>
            <w:r>
              <w:rPr>
                <w:rFonts w:ascii="方正书宋_GBK" w:eastAsia="方正书宋_GBK"/>
              </w:rPr>
              <w:t>;</w:t>
            </w:r>
            <w:r>
              <w:rPr>
                <w:rFonts w:hint="eastAsia" w:ascii="方正书宋_GBK" w:eastAsia="方正书宋_GBK"/>
              </w:rPr>
              <w:t>对领导班子和领导干部的考核工作，以及全县干部考核工作的宏观指导和督导检查；指导领导班子的思想作风建设；负责对全县组织部门干部监督工作的综合、协调和宏观指导。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落实国家工资政策和涉及领导干部收入分配的相关政策，准确高效办理工资及退休费审批；培养锻炼干部，提高干部整体素质；进一步增强我县干部教育培训工作的统筹性、针对性、有效性，不断提高干部素质和业务能力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干部队伍管理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277.00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负责全县乡科级领导班子和领导干部的年度考核工作；协助市委完成县党政班子和市管干部年度考核工作；负责干部的宏观管理和备案审查工作；承办部分干部的调配、交流及安置事宜。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培养锻炼干部，提高干部整体素质；全县干部流转调配工作政策严谨、规范有序、责权明确、公开透明，优化干部队伍结构、保证事业发展需要。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干部考核监督调研次数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干部档案管理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落实档案管理制度，做好干部档案相关工作；做好干部档案数字化工作，按时更新维护数字档案数据库；及时定期更换档案室六防设备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完善更新干部人事档案，提高科学管理水平，有效的保管和利用档案，更好为干部工作服务。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管档人员培训考核工作完成率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干部档案日常管理工作完成率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干部培养选拔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组织落实培养选拔后备干部、妇女干部、少数民族干部工作。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组织落实培养选拔后备干部、妇女干部、少数民族干部工作。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干部选拔工作完成率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  <w:r>
              <w:rPr>
                <w:rFonts w:hint="eastAsia" w:ascii="方正书宋_GBK" w:eastAsia="方正书宋_GBK"/>
              </w:rPr>
              <w:t>以上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80%-90%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60%-80%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  <w:r>
              <w:rPr>
                <w:rFonts w:hint="eastAsia" w:ascii="方正书宋_GBK" w:eastAsia="方正书宋_GBK"/>
              </w:rPr>
              <w:t>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援边干部管理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承担县对口支援工作领导小组干部人才工作办公室的职责任务，负责干部和人才的选派、管理及有关工作。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受援地与支援地交流交融不断深入，干部人才为受援地经济发展和社会稳定做出应有贡献。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援边工作完成率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干部教育培训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制订干部教育工作的方针、政策、规划；研究和探索适合我县情况的干部培训制度；对县直干部培训工作进行协调、指导、检查；组织县委管理的干部和一定层次的其他干部的培训。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建立规范的干部教育培训体系，科学设置培训内容，创新培训方式方法，完善培训管理机制，不断提升干部教育培训的统筹性、针对性和实效性。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培训各级各类干部次数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培训干部</w:t>
            </w:r>
            <w:r>
              <w:rPr>
                <w:rFonts w:ascii="方正书宋_GBK" w:eastAsia="方正书宋_GBK"/>
              </w:rPr>
              <w:t>2000</w:t>
            </w:r>
            <w:r>
              <w:rPr>
                <w:rFonts w:hint="eastAsia" w:ascii="方正书宋_GBK" w:eastAsia="方正书宋_GBK"/>
              </w:rPr>
              <w:t>人以上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培训干部</w:t>
            </w:r>
            <w:r>
              <w:rPr>
                <w:rFonts w:ascii="方正书宋_GBK" w:eastAsia="方正书宋_GBK"/>
              </w:rPr>
              <w:t>1500</w:t>
            </w:r>
            <w:r>
              <w:rPr>
                <w:rFonts w:hint="eastAsia" w:ascii="方正书宋_GBK" w:eastAsia="方正书宋_GBK"/>
              </w:rPr>
              <w:t>人以上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培训干部</w:t>
            </w:r>
            <w:r>
              <w:rPr>
                <w:rFonts w:ascii="方正书宋_GBK" w:eastAsia="方正书宋_GBK"/>
              </w:rPr>
              <w:t>1000</w:t>
            </w:r>
            <w:r>
              <w:rPr>
                <w:rFonts w:hint="eastAsia" w:ascii="方正书宋_GBK" w:eastAsia="方正书宋_GBK"/>
              </w:rPr>
              <w:t>人以上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培训干部</w:t>
            </w:r>
            <w:r>
              <w:rPr>
                <w:rFonts w:ascii="方正书宋_GBK" w:eastAsia="方正书宋_GBK"/>
              </w:rPr>
              <w:t>600</w:t>
            </w:r>
            <w:r>
              <w:rPr>
                <w:rFonts w:hint="eastAsia" w:ascii="方正书宋_GBK" w:eastAsia="方正书宋_GBK"/>
              </w:rPr>
              <w:t>人以下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全年共举办各类培训班次数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培训班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期以上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培训班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期以上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培训班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期以上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培训班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期以下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人才工作及人才队伍建设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19.32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负责全县人才工作的综合协调、检查指导。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加强人才队伍建设。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县管优秀专家和县域特色人才专项资金使用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19.32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落实县管优秀专家和县域特色人才政治、工作和生活待遇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  <w:r>
              <w:rPr>
                <w:rFonts w:hint="eastAsia" w:ascii="方正书宋_GBK" w:eastAsia="方正书宋_GBK"/>
              </w:rPr>
              <w:t>落实县管优秀专家和县域特色人健康体检、休假疗养、专项津贴等待遇，激发人才队伍活力。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县管优秀专家和县域特色人才待遇落实率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落实率达</w:t>
            </w:r>
            <w:r>
              <w:rPr>
                <w:rFonts w:ascii="方正书宋_GBK" w:eastAsia="方正书宋_GBK"/>
              </w:rPr>
              <w:t>95%</w:t>
            </w:r>
            <w:r>
              <w:rPr>
                <w:rFonts w:hint="eastAsia" w:ascii="方正书宋_GBK" w:eastAsia="方正书宋_GBK"/>
              </w:rPr>
              <w:t>以上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落实率达</w:t>
            </w:r>
            <w:r>
              <w:rPr>
                <w:rFonts w:ascii="方正书宋_GBK" w:eastAsia="方正书宋_GBK"/>
              </w:rPr>
              <w:t>85%</w:t>
            </w:r>
            <w:r>
              <w:rPr>
                <w:rFonts w:hint="eastAsia" w:ascii="方正书宋_GBK" w:eastAsia="方正书宋_GBK"/>
              </w:rPr>
              <w:t>以上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落实率达</w:t>
            </w:r>
            <w:r>
              <w:rPr>
                <w:rFonts w:ascii="方正书宋_GBK" w:eastAsia="方正书宋_GBK"/>
              </w:rPr>
              <w:t>75%</w:t>
            </w:r>
            <w:r>
              <w:rPr>
                <w:rFonts w:hint="eastAsia" w:ascii="方正书宋_GBK" w:eastAsia="方正书宋_GBK"/>
              </w:rPr>
              <w:t>以上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落实率不足</w:t>
            </w:r>
            <w:r>
              <w:rPr>
                <w:rFonts w:ascii="方正书宋_GBK" w:eastAsia="方正书宋_GBK"/>
              </w:rPr>
              <w:t>65%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组织事务管理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41.00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负责做好部机关机要、文秘、信访、会议、固定资产等工作的计划安排和管理；负责机关自身建设；负责老干部综合服务和保障工作；负责新闻工作网宣与舆情监控、处置；负责组织史征编工作。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做好部机关机要、文秘、信访、会议、固定资产等工作的计划安排和管理；干部、人事政策科学合理；做好老干部综合服务和保障工作；做到新闻工作网宣与舆情监控到位、处置及时；完成组织史征编工作。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综合事务管理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41.00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组织史资料征编；协调和组织全县组织系统的调研工作；组织、指导、协调全县组织系统互联网宣传工作；信息、信访工作。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组织、指导、协调全县组织系统互联网宣传工作；做好组织史征编工作；做好信息、信访工作。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大组工网安全运行率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组织系统互联网建设率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  <w:r>
              <w:rPr>
                <w:rFonts w:hint="eastAsia" w:ascii="方正书宋_GBK" w:eastAsia="方正书宋_GBK"/>
              </w:rPr>
              <w:t>人次以上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40-60</w:t>
            </w:r>
            <w:r>
              <w:rPr>
                <w:rFonts w:hint="eastAsia" w:ascii="方正书宋_GBK" w:eastAsia="方正书宋_GBK"/>
              </w:rPr>
              <w:t>人次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20-40</w:t>
            </w:r>
            <w:r>
              <w:rPr>
                <w:rFonts w:hint="eastAsia" w:ascii="方正书宋_GBK" w:eastAsia="方正书宋_GBK"/>
              </w:rPr>
              <w:t>人次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</w:t>
            </w:r>
            <w:r>
              <w:rPr>
                <w:rFonts w:hint="eastAsia" w:ascii="方正书宋_GBK" w:eastAsia="方正书宋_GBK"/>
              </w:rPr>
              <w:t>人次以下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《中共河北省香河县组织史资料》出版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按时高质量的完成《中共河北省香河县组织史资料》第七卷的出版发行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按时完成《中共河北省香河县组织史资料》第七卷的出版发行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已完成部分资料的整理编辑，还未能达到出版发行的要求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没有按时高质量的完成《中共河北省香河县组织史资料》第七卷的出版发行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22"/>
          <w:lang w:val="en-US" w:eastAsia="zh-CN" w:bidi="ar"/>
        </w:rPr>
        <w:t>政府采购决算情况</w:t>
      </w:r>
      <w:r>
        <w:rPr>
          <w:rFonts w:hint="default" w:ascii="Times New Roman" w:hAnsi="Times New Roman" w:eastAsia="Times New Roman" w:cs="Times New Roman"/>
          <w:color w:val="333333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right="0" w:rightChars="0" w:firstLine="960" w:firstLineChars="3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22"/>
          <w:lang w:val="en-US" w:eastAsia="zh-CN" w:bidi="ar"/>
        </w:rPr>
        <w:t>无政府采购情况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国有资产信息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tbl>
      <w:tblPr>
        <w:tblStyle w:val="5"/>
        <w:tblW w:w="134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4"/>
        <w:gridCol w:w="3155"/>
        <w:gridCol w:w="51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中共香河县委组织部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固定资产占用情况表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编制部门：中共霸州市委组织部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截止时间：</w:t>
            </w:r>
            <w:r>
              <w:rPr>
                <w:rFonts w:ascii="仿宋" w:hAnsi="仿宋" w:eastAsia="仿宋" w:cs="仿宋"/>
                <w:kern w:val="0"/>
                <w:sz w:val="22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年</w:t>
            </w:r>
            <w:r>
              <w:rPr>
                <w:rFonts w:ascii="仿宋" w:hAnsi="仿宋" w:eastAsia="仿宋" w:cs="仿宋"/>
                <w:kern w:val="0"/>
                <w:sz w:val="22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月</w:t>
            </w:r>
            <w:r>
              <w:rPr>
                <w:rFonts w:ascii="仿宋" w:hAnsi="仿宋" w:eastAsia="仿宋" w:cs="仿宋"/>
                <w:kern w:val="0"/>
                <w:sz w:val="22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日</w:t>
            </w:r>
            <w:r>
              <w:rPr>
                <w:rFonts w:ascii="仿宋" w:hAnsi="仿宋" w:eastAsia="仿宋" w:cs="仿宋"/>
                <w:kern w:val="0"/>
                <w:sz w:val="2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项</w:t>
            </w:r>
            <w:r>
              <w:rPr>
                <w:rFonts w:ascii="仿宋" w:hAnsi="仿宋" w:eastAsia="仿宋" w:cs="仿宋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目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41.9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22.8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、单价在</w:t>
            </w:r>
            <w:r>
              <w:rPr>
                <w:rFonts w:ascii="仿宋" w:hAnsi="仿宋" w:eastAsia="仿宋" w:cs="仿宋"/>
                <w:kern w:val="0"/>
                <w:sz w:val="22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万元以上的设备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19.1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其他需要说明的情况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财政拨款收入：本年度从本级财政部门取得的财政拨款，包括一般公共预算财政拨款和政府性基金预算财政拨款。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年初结转和结余：指以前年度尚未完成、结转到本年仍按原规定用途继续使用的资金，或项目已完成等产生的结余资金。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基本支出：填列单位为保障机构正常运转、完成日常工作任务而发生的各项支出。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公务用车购置：填列单位公务用车车辆购置支出（含车辆购置税）。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机关运行经费：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FangSong_GB2312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FangSong_GB2312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Garamond Pro Bold">
    <w:panose1 w:val="02020702060506020403"/>
    <w:charset w:val="00"/>
    <w:family w:val="auto"/>
    <w:pitch w:val="default"/>
    <w:sig w:usb0="00000007" w:usb1="00000001" w:usb2="00000000" w:usb3="00000000" w:csb0="20000093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akuyoxingshu7000">
    <w:altName w:val="方正姚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5782"/>
    <w:multiLevelType w:val="singleLevel"/>
    <w:tmpl w:val="58E4578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8147F"/>
    <w:multiLevelType w:val="multilevel"/>
    <w:tmpl w:val="59F8147F"/>
    <w:lvl w:ilvl="0" w:tentative="0">
      <w:start w:val="7"/>
      <w:numFmt w:val="japaneseCounting"/>
      <w:lvlText w:val="（%1）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601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1" w:tentative="0">
      <w:start w:val="1"/>
      <w:numFmt w:val="lowerLetter"/>
      <w:lvlText w:val="%2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72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2" w:tentative="0">
      <w:start w:val="1"/>
      <w:numFmt w:val="lowerRoman"/>
      <w:lvlText w:val="%3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244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3" w:tentative="0">
      <w:start w:val="1"/>
      <w:numFmt w:val="decimal"/>
      <w:lvlText w:val="%4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316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4" w:tentative="0">
      <w:start w:val="1"/>
      <w:numFmt w:val="lowerLetter"/>
      <w:lvlText w:val="%5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388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5" w:tentative="0">
      <w:start w:val="1"/>
      <w:numFmt w:val="lowerRoman"/>
      <w:lvlText w:val="%6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60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6" w:tentative="0">
      <w:start w:val="1"/>
      <w:numFmt w:val="decimal"/>
      <w:lvlText w:val="%7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532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7" w:tentative="0">
      <w:start w:val="1"/>
      <w:numFmt w:val="lowerLetter"/>
      <w:lvlText w:val="%8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604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8" w:tentative="0">
      <w:start w:val="1"/>
      <w:numFmt w:val="lowerRoman"/>
      <w:lvlText w:val="%9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676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</w:abstractNum>
  <w:abstractNum w:abstractNumId="2">
    <w:nsid w:val="59F814A0"/>
    <w:multiLevelType w:val="multilevel"/>
    <w:tmpl w:val="59F814A0"/>
    <w:lvl w:ilvl="0" w:tentative="0">
      <w:start w:val="1"/>
      <w:numFmt w:val="ideographDigital"/>
      <w:lvlText w:val="（%1）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602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1" w:tentative="0">
      <w:start w:val="1"/>
      <w:numFmt w:val="lowerLetter"/>
      <w:lvlText w:val="%2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72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2" w:tentative="0">
      <w:start w:val="1"/>
      <w:numFmt w:val="lowerRoman"/>
      <w:lvlText w:val="%3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244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3" w:tentative="0">
      <w:start w:val="1"/>
      <w:numFmt w:val="decimal"/>
      <w:lvlText w:val="%4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316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4" w:tentative="0">
      <w:start w:val="1"/>
      <w:numFmt w:val="lowerLetter"/>
      <w:lvlText w:val="%5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388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5" w:tentative="0">
      <w:start w:val="1"/>
      <w:numFmt w:val="lowerRoman"/>
      <w:lvlText w:val="%6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60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6" w:tentative="0">
      <w:start w:val="1"/>
      <w:numFmt w:val="decimal"/>
      <w:lvlText w:val="%7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532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7" w:tentative="0">
      <w:start w:val="1"/>
      <w:numFmt w:val="lowerLetter"/>
      <w:lvlText w:val="%8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604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  <w:lvl w:ilvl="8" w:tentative="0">
      <w:start w:val="1"/>
      <w:numFmt w:val="lowerRoman"/>
      <w:lvlText w:val="%9"/>
      <w:lvlJc w:val="left"/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6760" w:firstLine="0"/>
        <w:textAlignment w:val="baseline"/>
      </w:pPr>
      <w:rPr>
        <w:rFonts w:ascii="仿宋_GB2312" w:hAnsi="仿宋_GB2312" w:eastAsia="仿宋_GB2312" w:cs="仿宋_GB2312"/>
        <w:b w:val="0"/>
        <w:strike w:val="0"/>
        <w:dstrike w:val="0"/>
        <w:color w:val="000000"/>
        <w:sz w:val="32"/>
        <w:szCs w:val="32"/>
        <w:u w:val="none" w:color="000000"/>
      </w:rPr>
    </w:lvl>
  </w:abstractNum>
  <w:abstractNum w:abstractNumId="3">
    <w:nsid w:val="59F81B3C"/>
    <w:multiLevelType w:val="singleLevel"/>
    <w:tmpl w:val="59F81B3C"/>
    <w:lvl w:ilvl="0" w:tentative="0">
      <w:start w:val="2016"/>
      <w:numFmt w:val="decimal"/>
      <w:suff w:val="nothing"/>
      <w:lvlText w:val="%1 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964DF"/>
    <w:rsid w:val="727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suppressLineNumbers w:val="0"/>
      <w:spacing w:before="0" w:beforeAutospacing="0" w:after="161" w:afterAutospacing="0" w:line="256" w:lineRule="auto"/>
      <w:ind w:left="611" w:right="0" w:hanging="10"/>
      <w:jc w:val="left"/>
      <w:outlineLvl w:val="0"/>
    </w:pPr>
    <w:rPr>
      <w:rFonts w:hint="eastAsia" w:ascii="黑体" w:hAnsi="宋体" w:eastAsia="黑体" w:cs="黑体"/>
      <w:color w:val="000000"/>
      <w:kern w:val="2"/>
      <w:sz w:val="32"/>
      <w:szCs w:val="22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widowControl/>
      <w:suppressLineNumbers w:val="0"/>
      <w:spacing w:before="0" w:beforeAutospacing="0" w:after="161" w:afterAutospacing="0" w:line="256" w:lineRule="auto"/>
      <w:ind w:left="611" w:right="0" w:hanging="10"/>
      <w:jc w:val="left"/>
      <w:outlineLvl w:val="1"/>
    </w:pPr>
    <w:rPr>
      <w:rFonts w:hint="eastAsia" w:ascii="黑体" w:hAnsi="宋体" w:eastAsia="黑体" w:cs="黑体"/>
      <w:color w:val="000000"/>
      <w:kern w:val="2"/>
      <w:sz w:val="32"/>
      <w:szCs w:val="2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JDB001</dc:creator>
  <cp:lastModifiedBy>胡子诺</cp:lastModifiedBy>
  <cp:lastPrinted>2017-04-05T06:08:50Z</cp:lastPrinted>
  <dcterms:modified xsi:type="dcterms:W3CDTF">2017-11-03T08:40:18Z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